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</w:p>
    <w:tbl>
      <w:tblPr>
        <w:tblStyle w:val="2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资产总额             元，年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额           元，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华文中宋"/>
          <w:bCs/>
          <w:kern w:val="0"/>
          <w:sz w:val="24"/>
          <w:szCs w:val="24"/>
        </w:rPr>
        <w:t>附件</w:t>
      </w:r>
      <w:r>
        <w:rPr>
          <w:rFonts w:hint="eastAsia" w:ascii="黑体" w:hAnsi="黑体" w:eastAsia="黑体" w:cs="华文中宋"/>
          <w:bCs/>
          <w:kern w:val="0"/>
          <w:sz w:val="24"/>
          <w:szCs w:val="24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广元广曌置业有限公司关于公开招聘工作人员的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 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 本人若被确定为考察对象初步人选，自愿接受公司统一组织的体检，知悉体检标准参照《公务员录用体检通用标准（试行）》；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，并向原单位提出离职；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日期：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9545D"/>
    <w:rsid w:val="240911DA"/>
    <w:rsid w:val="7D5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2019-07-17T03:38:00Z</dcterms:created>
  <dc:creator>Administrator</dc:creator>
  <cp:lastModifiedBy>white bear</cp:lastModifiedBy>
  <dcterms:modified xsi:type="dcterms:W3CDTF">2019-07-18T09:32:30Z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